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C4" w:rsidRPr="00C62058" w:rsidRDefault="00C62058" w:rsidP="00C62058">
      <w:pPr>
        <w:pStyle w:val="BodyText"/>
        <w:ind w:left="6782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C62058">
        <w:rPr>
          <w:rFonts w:ascii="Century Gothic" w:hAnsi="Century Gothic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-147320</wp:posOffset>
            </wp:positionV>
            <wp:extent cx="2522220" cy="24319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- 201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917" cy="244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C62058" w:rsidRPr="00C62058" w:rsidRDefault="00C62058" w:rsidP="00C62058">
      <w:pPr>
        <w:pStyle w:val="Title"/>
        <w:rPr>
          <w:rFonts w:ascii="Century Gothic" w:hAnsi="Century Gothic"/>
          <w:color w:val="585858"/>
          <w:sz w:val="24"/>
          <w:szCs w:val="24"/>
        </w:rPr>
      </w:pPr>
    </w:p>
    <w:p w:rsidR="00162AC4" w:rsidRPr="00AF1664" w:rsidRDefault="00C62058" w:rsidP="00AF1664">
      <w:pPr>
        <w:pStyle w:val="Title"/>
        <w:ind w:left="0"/>
        <w:jc w:val="center"/>
        <w:rPr>
          <w:rFonts w:ascii="Century Gothic" w:hAnsi="Century Gothic"/>
          <w:sz w:val="52"/>
          <w:szCs w:val="24"/>
        </w:rPr>
      </w:pPr>
      <w:r w:rsidRPr="00AF1664">
        <w:rPr>
          <w:rFonts w:ascii="Century Gothic" w:hAnsi="Century Gothic"/>
          <w:color w:val="585858"/>
          <w:sz w:val="52"/>
          <w:szCs w:val="24"/>
        </w:rPr>
        <w:t>WHISTLEBLOWING</w:t>
      </w:r>
      <w:r w:rsidRPr="00AF1664">
        <w:rPr>
          <w:rFonts w:ascii="Century Gothic" w:hAnsi="Century Gothic"/>
          <w:color w:val="585858"/>
          <w:spacing w:val="-1"/>
          <w:sz w:val="52"/>
          <w:szCs w:val="24"/>
        </w:rPr>
        <w:t xml:space="preserve"> </w:t>
      </w:r>
      <w:r w:rsidRPr="00AF1664">
        <w:rPr>
          <w:rFonts w:ascii="Century Gothic" w:hAnsi="Century Gothic"/>
          <w:color w:val="585858"/>
          <w:sz w:val="52"/>
          <w:szCs w:val="24"/>
        </w:rPr>
        <w:t>POLICY</w:t>
      </w: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rPr>
          <w:rFonts w:ascii="Century Gothic" w:hAnsi="Century Gothic"/>
          <w:b/>
          <w:sz w:val="24"/>
          <w:szCs w:val="24"/>
        </w:rPr>
      </w:pPr>
    </w:p>
    <w:p w:rsidR="00162AC4" w:rsidRPr="00C62058" w:rsidRDefault="00162AC4" w:rsidP="00C62058">
      <w:pPr>
        <w:pStyle w:val="BodyText"/>
        <w:spacing w:before="1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Review Date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2024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spacing w:before="101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Approved</w:t>
            </w:r>
          </w:p>
        </w:tc>
        <w:tc>
          <w:tcPr>
            <w:tcW w:w="4510" w:type="dxa"/>
          </w:tcPr>
          <w:p w:rsidR="00162AC4" w:rsidRDefault="008640B2" w:rsidP="00C62058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Governors</w:t>
            </w:r>
          </w:p>
          <w:p w:rsidR="008640B2" w:rsidRPr="00C62058" w:rsidRDefault="008640B2" w:rsidP="00C62058">
            <w:pPr>
              <w:pStyle w:val="TableParagraph"/>
              <w:spacing w:before="101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Ratified</w:t>
            </w:r>
          </w:p>
        </w:tc>
        <w:tc>
          <w:tcPr>
            <w:tcW w:w="4510" w:type="dxa"/>
          </w:tcPr>
          <w:p w:rsidR="00162AC4" w:rsidRDefault="00464E9D" w:rsidP="00464E9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Full Governors</w:t>
            </w:r>
          </w:p>
          <w:p w:rsidR="008640B2" w:rsidRPr="00C62058" w:rsidRDefault="008640B2" w:rsidP="00464E9D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5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To be Reviewed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2026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2AC4" w:rsidRPr="00C62058">
        <w:trPr>
          <w:trHeight w:val="453"/>
        </w:trPr>
        <w:tc>
          <w:tcPr>
            <w:tcW w:w="4508" w:type="dxa"/>
          </w:tcPr>
          <w:p w:rsidR="00162AC4" w:rsidRPr="00C62058" w:rsidRDefault="00C62058" w:rsidP="00C62058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62058">
              <w:rPr>
                <w:rFonts w:ascii="Century Gothic" w:hAnsi="Century Gothic"/>
                <w:b/>
                <w:sz w:val="24"/>
                <w:szCs w:val="24"/>
              </w:rPr>
              <w:t>Policy Lead</w:t>
            </w:r>
          </w:p>
        </w:tc>
        <w:tc>
          <w:tcPr>
            <w:tcW w:w="4510" w:type="dxa"/>
          </w:tcPr>
          <w:p w:rsidR="00162AC4" w:rsidRDefault="00A927B9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 Smith</w:t>
            </w:r>
          </w:p>
          <w:p w:rsidR="008640B2" w:rsidRPr="00C62058" w:rsidRDefault="008640B2" w:rsidP="00C62058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1020" w:bottom="280" w:left="840" w:header="720" w:footer="720" w:gutter="0"/>
          <w:cols w:space="720"/>
        </w:sect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lastRenderedPageBreak/>
        <w:t>Introduction</w:t>
      </w:r>
    </w:p>
    <w:p w:rsidR="00162AC4" w:rsidRPr="00C62058" w:rsidRDefault="00162AC4" w:rsidP="008E341B">
      <w:pPr>
        <w:pStyle w:val="BodyText"/>
        <w:spacing w:before="1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 Vale Academy</w:t>
      </w:r>
      <w:r w:rsidRPr="00C62058">
        <w:rPr>
          <w:rFonts w:ascii="Century Gothic" w:hAnsi="Century Gothic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is committed to the highest possible standards of openness and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784D7B">
        <w:rPr>
          <w:rFonts w:ascii="Century Gothic" w:hAnsi="Century Gothic"/>
          <w:sz w:val="24"/>
          <w:szCs w:val="24"/>
        </w:rPr>
        <w:t xml:space="preserve"> accountablity</w:t>
      </w:r>
      <w:r w:rsidRPr="00C62058">
        <w:rPr>
          <w:rFonts w:ascii="Century Gothic" w:hAnsi="Century Gothic"/>
          <w:sz w:val="24"/>
          <w:szCs w:val="24"/>
        </w:rPr>
        <w:t xml:space="preserve"> and expects all staff to maintain high standards in accordance with their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contractual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 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However, all organisations face the risk of things going wrong from time-to-time, or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unknowingly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harbouring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illegal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unethical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culture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openness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accountability is essential in order to prevent such situations occurring or to address them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do occur.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procedure is not a substitute for normal line management processes but an addition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them. Staff should always first consider using normal line management for raising concerns.</w:t>
      </w:r>
      <w:r w:rsidRPr="00C62058">
        <w:rPr>
          <w:rFonts w:ascii="Century Gothic" w:hAnsi="Century Gothic"/>
          <w:spacing w:val="-6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 part of our safeguarding culture, we would encourage all staff to report “low level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concerns” that do not meet the harm threshold, in a timely fashion so that we can intervene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support staff (See Keeping</w:t>
      </w:r>
      <w:r w:rsidR="00CE6533">
        <w:rPr>
          <w:rFonts w:ascii="Century Gothic" w:hAnsi="Century Gothic"/>
          <w:sz w:val="24"/>
          <w:szCs w:val="24"/>
        </w:rPr>
        <w:t xml:space="preserve"> Children Safe in Education 2022 (paragraphs 424-429</w:t>
      </w:r>
      <w:r w:rsidRPr="00C62058">
        <w:rPr>
          <w:rFonts w:ascii="Century Gothic" w:hAnsi="Century Gothic"/>
          <w:sz w:val="24"/>
          <w:szCs w:val="24"/>
        </w:rPr>
        <w:t>).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Where staff are concerned that a colleague’s behaviour may have met the harm threshold,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these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urgency;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="00CE6533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CE6533">
        <w:rPr>
          <w:rFonts w:ascii="Century Gothic" w:hAnsi="Century Gothic"/>
          <w:sz w:val="24"/>
          <w:szCs w:val="24"/>
        </w:rPr>
        <w:t>that</w:t>
      </w:r>
      <w:r w:rsidR="00CE6533">
        <w:rPr>
          <w:rFonts w:ascii="Century Gothic" w:hAnsi="Century Gothic"/>
          <w:spacing w:val="-59"/>
          <w:sz w:val="24"/>
          <w:szCs w:val="24"/>
        </w:rPr>
        <w:t xml:space="preserve"> t</w:t>
      </w:r>
      <w:r w:rsidRPr="00C62058">
        <w:rPr>
          <w:rFonts w:ascii="Century Gothic" w:hAnsi="Century Gothic"/>
          <w:sz w:val="24"/>
          <w:szCs w:val="24"/>
        </w:rPr>
        <w:t>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feel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need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support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ind w:left="1013" w:right="11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b/>
          <w:sz w:val="24"/>
          <w:szCs w:val="24"/>
        </w:rPr>
        <w:t xml:space="preserve">This procedure is only for the purpose of raising concerns about wrongdoing </w:t>
      </w:r>
      <w:r w:rsidRPr="00C62058">
        <w:rPr>
          <w:rFonts w:ascii="Century Gothic" w:hAnsi="Century Gothic"/>
          <w:sz w:val="24"/>
          <w:szCs w:val="24"/>
        </w:rPr>
        <w:t>and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 a substitute or alternative for existing procedures such as the Grievance,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complaints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AB0305" w:rsidRDefault="00C62058" w:rsidP="00AB0305">
      <w:pPr>
        <w:pStyle w:val="Heading1"/>
        <w:numPr>
          <w:ilvl w:val="1"/>
          <w:numId w:val="1"/>
        </w:numPr>
        <w:tabs>
          <w:tab w:val="left" w:pos="1014"/>
        </w:tabs>
        <w:ind w:right="114"/>
        <w:jc w:val="both"/>
        <w:rPr>
          <w:rFonts w:ascii="Century Gothic" w:hAnsi="Century Gothic"/>
          <w:b w:val="0"/>
          <w:sz w:val="24"/>
          <w:szCs w:val="24"/>
        </w:rPr>
      </w:pPr>
      <w:r w:rsidRPr="00AB0305">
        <w:rPr>
          <w:rFonts w:ascii="Century Gothic" w:hAnsi="Century Gothic"/>
          <w:b w:val="0"/>
          <w:sz w:val="24"/>
          <w:szCs w:val="24"/>
        </w:rPr>
        <w:t>This procedure should only be used where all other existing internal procedures are</w:t>
      </w:r>
      <w:r w:rsidRPr="00AB0305">
        <w:rPr>
          <w:rFonts w:ascii="Century Gothic" w:hAnsi="Century Gothic"/>
          <w:b w:val="0"/>
          <w:spacing w:val="1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felt to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be</w:t>
      </w:r>
      <w:r w:rsidRPr="00AB0305">
        <w:rPr>
          <w:rFonts w:ascii="Century Gothic" w:hAnsi="Century Gothic"/>
          <w:b w:val="0"/>
          <w:spacing w:val="-2"/>
          <w:sz w:val="24"/>
          <w:szCs w:val="24"/>
        </w:rPr>
        <w:t xml:space="preserve"> </w:t>
      </w:r>
      <w:r w:rsidRPr="00AB0305">
        <w:rPr>
          <w:rFonts w:ascii="Century Gothic" w:hAnsi="Century Gothic"/>
          <w:b w:val="0"/>
          <w:sz w:val="24"/>
          <w:szCs w:val="24"/>
        </w:rPr>
        <w:t>inappropriate.</w:t>
      </w:r>
    </w:p>
    <w:p w:rsidR="001E0BC8" w:rsidRPr="00C62058" w:rsidRDefault="001E0BC8" w:rsidP="00AB0305">
      <w:pPr>
        <w:pStyle w:val="Heading1"/>
        <w:tabs>
          <w:tab w:val="left" w:pos="1014"/>
        </w:tabs>
        <w:ind w:right="114" w:firstLine="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1E0BC8" w:rsidP="00AB0305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ind w:left="1009" w:hanging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Aims of Policy</w:t>
      </w:r>
    </w:p>
    <w:p w:rsidR="00162AC4" w:rsidRPr="00C62058" w:rsidRDefault="00162AC4" w:rsidP="00AB0305">
      <w:pPr>
        <w:pStyle w:val="BodyText"/>
        <w:spacing w:before="3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Aims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</w:t>
      </w:r>
      <w:r w:rsidR="001E0BC8">
        <w:rPr>
          <w:rFonts w:ascii="Century Gothic" w:hAnsi="Century Gothic"/>
          <w:sz w:val="24"/>
          <w:szCs w:val="24"/>
        </w:rPr>
        <w:t>icy are: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encourage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knowledge that their concerns will be taken seriously and investigated as appropriate,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respected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 as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 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those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1" w:line="237" w:lineRule="auto"/>
        <w:ind w:right="113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-1"/>
          <w:sz w:val="24"/>
          <w:szCs w:val="24"/>
        </w:rPr>
        <w:t>To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re-assure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staff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able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without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fear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reprisals,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turn 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mistaken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3" w:line="237" w:lineRule="auto"/>
        <w:ind w:right="114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 policy takes account of the Whistleblowing Arrangements Code of Practice issued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British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Standards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Institute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Public Concern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4" w:line="237" w:lineRule="auto"/>
        <w:ind w:right="111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reserves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>right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amend its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content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time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before="2"/>
        <w:ind w:right="112"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This Policy reflects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current practices and applies to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all individuals working at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 xml:space="preserve">all levels of the organisation, including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C62058">
        <w:rPr>
          <w:rFonts w:ascii="Century Gothic" w:hAnsi="Century Gothic"/>
          <w:sz w:val="24"/>
          <w:szCs w:val="24"/>
        </w:rPr>
        <w:t>Governing Bod</w:t>
      </w:r>
      <w:r>
        <w:rPr>
          <w:rFonts w:ascii="Century Gothic" w:hAnsi="Century Gothic"/>
          <w:sz w:val="24"/>
          <w:szCs w:val="24"/>
        </w:rPr>
        <w:t>y</w:t>
      </w:r>
      <w:r w:rsidRPr="00C62058">
        <w:rPr>
          <w:rFonts w:ascii="Century Gothic" w:hAnsi="Century Gothic"/>
          <w:sz w:val="24"/>
          <w:szCs w:val="24"/>
        </w:rPr>
        <w:t xml:space="preserve"> and all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advised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familiarise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themselves with its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content</w:t>
      </w:r>
    </w:p>
    <w:p w:rsidR="00162AC4" w:rsidRPr="00C62058" w:rsidRDefault="00162AC4" w:rsidP="001026A5">
      <w:pPr>
        <w:pStyle w:val="BodyText"/>
        <w:spacing w:before="8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0"/>
          <w:sz w:val="24"/>
          <w:szCs w:val="24"/>
        </w:rPr>
        <w:t>What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Whistleblowing?</w:t>
      </w:r>
    </w:p>
    <w:p w:rsidR="00162AC4" w:rsidRPr="00C62058" w:rsidRDefault="00162AC4" w:rsidP="008E341B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right="115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information which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relates to suspected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doing </w:t>
      </w:r>
      <w:r w:rsidR="001E0BC8">
        <w:rPr>
          <w:rFonts w:ascii="Century Gothic" w:hAnsi="Century Gothic"/>
          <w:sz w:val="24"/>
          <w:szCs w:val="24"/>
        </w:rPr>
        <w:t>or dangers</w:t>
      </w:r>
      <w:r w:rsidRPr="00C62058">
        <w:rPr>
          <w:rFonts w:ascii="Century Gothic" w:hAnsi="Century Gothic"/>
          <w:sz w:val="24"/>
          <w:szCs w:val="24"/>
        </w:rPr>
        <w:t xml:space="preserve"> at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work.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include:-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criminal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activity</w:t>
      </w:r>
    </w:p>
    <w:p w:rsid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child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protection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and/or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safeguarding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concerns</w:t>
      </w:r>
    </w:p>
    <w:p w:rsidR="00162AC4" w:rsidRPr="001026A5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1026A5">
        <w:rPr>
          <w:rFonts w:ascii="Century Gothic" w:hAnsi="Century Gothic"/>
          <w:sz w:val="24"/>
          <w:szCs w:val="24"/>
        </w:rPr>
        <w:t>danger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to health</w:t>
      </w:r>
      <w:r w:rsidRPr="001026A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and</w:t>
      </w:r>
      <w:r w:rsidRPr="001026A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026A5">
        <w:rPr>
          <w:rFonts w:ascii="Century Gothic" w:hAnsi="Century Gothic"/>
          <w:sz w:val="24"/>
          <w:szCs w:val="24"/>
        </w:rPr>
        <w:t>safety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environment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failure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comply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legal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professional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obligation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regulatory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requirements</w:t>
      </w:r>
    </w:p>
    <w:p w:rsidR="00162AC4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financial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fraud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mismanagement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9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negligence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breach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 internal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policies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Conduct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conduct likely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damage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reputation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unauthorised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</w:t>
      </w:r>
    </w:p>
    <w:p w:rsidR="00162AC4" w:rsidRPr="00C62058" w:rsidRDefault="00C62058" w:rsidP="00AB0305">
      <w:pPr>
        <w:pStyle w:val="ListParagraph"/>
        <w:numPr>
          <w:ilvl w:val="2"/>
          <w:numId w:val="1"/>
        </w:numPr>
        <w:tabs>
          <w:tab w:val="left" w:pos="1426"/>
        </w:tabs>
        <w:spacing w:line="268" w:lineRule="exact"/>
        <w:ind w:hanging="28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deliberate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concealment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matters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 ‘whistleblower’ is a person who raises a genuine concern in good faith relating to any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above. If you have any genuine concerns related to suspected wrongdoing or danger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affecting any of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activities (a whistleblowing concern) you should report it under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this policy.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used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staffs’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own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personal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 as the way you have been treated at work.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those cases you should follow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staff are uncertain whether something is within the scope of this policy they should seek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advice from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and if the matter is in relation to an alleged wrongdoing by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 seek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Raising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3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Whistleblowing</w:t>
      </w:r>
      <w:r w:rsidRPr="00C62058">
        <w:rPr>
          <w:rFonts w:ascii="Century Gothic" w:hAnsi="Century Gothic"/>
          <w:spacing w:val="3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Concern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hopes that in many cases staff will be able to raise any concerns with their Line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Manager, speaking to them in person or putting the matter in writing if they prefer.</w:t>
      </w:r>
      <w:r w:rsidRPr="00C62058">
        <w:rPr>
          <w:rFonts w:ascii="Century Gothic" w:hAnsi="Century Gothic"/>
          <w:spacing w:val="6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 be able to agree a way of resolving a concern quickly and effectively.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may ref</w:t>
      </w:r>
      <w:r w:rsidR="00CE6533">
        <w:rPr>
          <w:rFonts w:ascii="Century Gothic" w:hAnsi="Century Gothic"/>
          <w:sz w:val="24"/>
          <w:szCs w:val="24"/>
        </w:rPr>
        <w:t>er the matter to a member of Senior Leadership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where the matter is more serious,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staff feel that their Line Manager has not addressed their concern, or the staff member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prefers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them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reason,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individuals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 Chair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(if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="001026A5">
        <w:rPr>
          <w:rFonts w:ascii="Century Gothic" w:hAnsi="Century Gothic"/>
          <w:sz w:val="24"/>
          <w:szCs w:val="24"/>
        </w:rPr>
        <w:t>)</w:t>
      </w:r>
      <w:r w:rsidR="00AB0305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6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arrange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soon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practicable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to discuss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  <w:r w:rsidRPr="00C62058">
        <w:rPr>
          <w:rFonts w:ascii="Century Gothic" w:hAnsi="Century Gothic"/>
          <w:spacing w:val="5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record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sufficient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be thoroughly investigated</w:t>
      </w:r>
      <w:r w:rsidRPr="00C62058">
        <w:rPr>
          <w:rFonts w:ascii="Century Gothic" w:hAnsi="Century Gothic"/>
          <w:sz w:val="24"/>
          <w:szCs w:val="24"/>
        </w:rPr>
        <w:t>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As a minimum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record the name of the employee 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also indicate whether the individual wishes his or her identity to remain confidential, if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 and the nature of the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some cases it will not be possible to maintain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lastRenderedPageBreak/>
        <w:t>confidentiality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explain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employee.</w:t>
      </w:r>
      <w:r w:rsidRPr="00C62058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instances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employee will have the choice of either withdrawing or agreeing to his/her identity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becoming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known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 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 effectively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may bring a colleague or trade union representative to any meetings under this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must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respect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 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disclosure and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subsequent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investigation.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take notes and produce a written summary of the concern raised and provide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‘whistleblower’ with a copy as soon as practicable after the meeting.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give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‘whistleblower’ an indication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 how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proposes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matter.</w:t>
      </w:r>
    </w:p>
    <w:p w:rsidR="00162AC4" w:rsidRPr="00C62058" w:rsidRDefault="00162AC4" w:rsidP="008E341B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8E341B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1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3"/>
          <w:sz w:val="24"/>
          <w:szCs w:val="24"/>
        </w:rPr>
        <w:t>Confidentiality</w:t>
      </w:r>
    </w:p>
    <w:p w:rsidR="00162AC4" w:rsidRPr="00C62058" w:rsidRDefault="00162AC4" w:rsidP="00C62058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1026A5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does not encourage staff to make disclosures anonymously.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Proper investigation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FE2F71">
        <w:rPr>
          <w:rFonts w:ascii="Century Gothic" w:hAnsi="Century Gothic"/>
          <w:spacing w:val="-59"/>
          <w:sz w:val="24"/>
          <w:szCs w:val="24"/>
        </w:rPr>
        <w:t xml:space="preserve">     </w:t>
      </w:r>
      <w:r w:rsidRPr="00C62058">
        <w:rPr>
          <w:rFonts w:ascii="Century Gothic" w:hAnsi="Century Gothic"/>
          <w:sz w:val="24"/>
          <w:szCs w:val="24"/>
        </w:rPr>
        <w:t xml:space="preserve">may be more difficult or impossible 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obtain further information. It is also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more difficult to establish whether any allegations are credible and have been made in good</w:t>
      </w:r>
      <w:r w:rsidR="00FE2F71">
        <w:rPr>
          <w:rFonts w:ascii="Century Gothic" w:hAnsi="Century Gothic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faith.</w:t>
      </w:r>
      <w:r w:rsidR="00F7063D">
        <w:rPr>
          <w:rFonts w:ascii="Century Gothic" w:hAnsi="Century Gothic"/>
          <w:sz w:val="24"/>
          <w:szCs w:val="24"/>
        </w:rPr>
        <w:br/>
      </w:r>
    </w:p>
    <w:p w:rsidR="00162AC4" w:rsidRPr="00F7063D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F7063D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z w:val="24"/>
          <w:szCs w:val="24"/>
        </w:rPr>
        <w:t xml:space="preserve"> hopes that staff will feel able to voice whistleblowing concerns openly under this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policy. However, if a member of staff wants to raise his or her concern confidentially, the</w:t>
      </w:r>
      <w:r w:rsidRPr="00F7063D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will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endeavour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keep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his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or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her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identity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secret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in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far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as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it</w:t>
      </w:r>
      <w:r w:rsidRPr="00F7063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is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possible</w:t>
      </w:r>
      <w:r w:rsidRPr="00F7063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to</w:t>
      </w:r>
      <w:r w:rsidRPr="00F7063D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do</w:t>
      </w:r>
      <w:r w:rsidRPr="00F7063D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so</w:t>
      </w:r>
      <w:r w:rsidRPr="00F7063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when following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this</w:t>
      </w:r>
      <w:r w:rsidRPr="00F7063D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policy</w:t>
      </w:r>
      <w:r w:rsidRPr="00F7063D">
        <w:rPr>
          <w:rFonts w:ascii="Century Gothic" w:hAnsi="Century Gothic"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and</w:t>
      </w:r>
      <w:r w:rsidRPr="00F7063D">
        <w:rPr>
          <w:rFonts w:ascii="Century Gothic" w:hAnsi="Century Gothic"/>
          <w:spacing w:val="53"/>
          <w:sz w:val="24"/>
          <w:szCs w:val="24"/>
        </w:rPr>
        <w:t xml:space="preserve"> </w:t>
      </w:r>
      <w:r w:rsidRPr="00F7063D">
        <w:rPr>
          <w:rFonts w:ascii="Century Gothic" w:hAnsi="Century Gothic"/>
          <w:sz w:val="24"/>
          <w:szCs w:val="24"/>
        </w:rPr>
        <w:t>procedure.</w:t>
      </w:r>
      <w:r w:rsidRPr="00F7063D">
        <w:rPr>
          <w:rFonts w:ascii="Century Gothic" w:hAnsi="Century Gothic"/>
          <w:spacing w:val="5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If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it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is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necessary</w:t>
      </w:r>
      <w:r w:rsidRPr="00F7063D">
        <w:rPr>
          <w:rFonts w:ascii="Century Gothic" w:hAnsi="Century Gothic"/>
          <w:b/>
          <w:spacing w:val="5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for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anyone</w:t>
      </w:r>
      <w:r w:rsidRPr="00F7063D">
        <w:rPr>
          <w:rFonts w:ascii="Century Gothic" w:hAnsi="Century Gothic"/>
          <w:b/>
          <w:spacing w:val="5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investigating</w:t>
      </w:r>
      <w:r w:rsidRPr="00F7063D">
        <w:rPr>
          <w:rFonts w:ascii="Century Gothic" w:hAnsi="Century Gothic"/>
          <w:b/>
          <w:spacing w:val="5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that</w:t>
      </w:r>
      <w:r w:rsidRPr="00F7063D">
        <w:rPr>
          <w:rFonts w:ascii="Century Gothic" w:hAnsi="Century Gothic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pacing w:val="-1"/>
          <w:sz w:val="24"/>
          <w:szCs w:val="24"/>
        </w:rPr>
        <w:t>staff’s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concern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to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know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5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‘whistleblower’s’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identity,</w:t>
      </w:r>
      <w:r w:rsidRPr="00F7063D">
        <w:rPr>
          <w:rFonts w:ascii="Century Gothic" w:hAnsi="Century Gothic"/>
          <w:b/>
          <w:spacing w:val="-10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12"/>
          <w:sz w:val="24"/>
          <w:szCs w:val="24"/>
        </w:rPr>
        <w:t xml:space="preserve"> </w:t>
      </w:r>
      <w:r w:rsidR="00FE2F71">
        <w:rPr>
          <w:rFonts w:ascii="Century Gothic" w:hAnsi="Century Gothic"/>
          <w:b/>
          <w:sz w:val="24"/>
          <w:szCs w:val="24"/>
        </w:rPr>
        <w:t>School</w:t>
      </w:r>
      <w:r w:rsidRPr="00F7063D">
        <w:rPr>
          <w:rFonts w:ascii="Century Gothic" w:hAnsi="Century Gothic"/>
          <w:b/>
          <w:spacing w:val="-1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will</w:t>
      </w:r>
      <w:r w:rsidRPr="00F7063D">
        <w:rPr>
          <w:rFonts w:ascii="Century Gothic" w:hAnsi="Century Gothic"/>
          <w:b/>
          <w:spacing w:val="-14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 xml:space="preserve">discuss </w:t>
      </w:r>
      <w:r w:rsidRPr="00F7063D">
        <w:rPr>
          <w:rFonts w:ascii="Century Gothic" w:hAnsi="Century Gothic"/>
          <w:b/>
          <w:spacing w:val="-58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this</w:t>
      </w:r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with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the</w:t>
      </w:r>
      <w:r w:rsidRPr="00F7063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member</w:t>
      </w:r>
      <w:r w:rsidRPr="00F7063D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of</w:t>
      </w:r>
      <w:r w:rsidRPr="00F7063D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F7063D">
        <w:rPr>
          <w:rFonts w:ascii="Century Gothic" w:hAnsi="Century Gothic"/>
          <w:b/>
          <w:sz w:val="24"/>
          <w:szCs w:val="24"/>
        </w:rPr>
        <w:t>staff first.</w:t>
      </w:r>
    </w:p>
    <w:p w:rsidR="00162AC4" w:rsidRPr="00C62058" w:rsidRDefault="00162AC4" w:rsidP="00AB0305">
      <w:pPr>
        <w:pStyle w:val="BodyText"/>
        <w:spacing w:before="2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 w:hanging="65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‘Whistleblowers’ who are concerned about possible reprisals if their identity is revealed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forward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one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contacts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listed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above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appropriate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measures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</w:t>
      </w:r>
      <w:r w:rsidRPr="00C62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then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 </w:t>
      </w:r>
      <w:r w:rsidRPr="00C62058">
        <w:rPr>
          <w:rFonts w:ascii="Century Gothic" w:hAnsi="Century Gothic"/>
          <w:sz w:val="24"/>
          <w:szCs w:val="24"/>
        </w:rPr>
        <w:t>be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 to preserve confidentiality.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‘whistleblower’ is concerned about reprisals 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consequences,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discussed when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 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raised.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an individual misuses the policy and procedure eg by making malicious or repeated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unsubstantiated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complaints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against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colleagues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could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give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rise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 xml:space="preserve">the School’s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E0BC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Procedure.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If the </w:t>
      </w:r>
      <w:r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knows or has a suspicion that an employee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comes into this category then they will take further advice to determine what action should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AB0305">
        <w:rPr>
          <w:rFonts w:ascii="Century Gothic" w:hAnsi="Century Gothic"/>
          <w:sz w:val="24"/>
          <w:szCs w:val="24"/>
        </w:rPr>
        <w:t>be taken.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If an individual is in any doubt, advice you can be sought from Public Concern at Work,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independent whistleblowing charity, who offer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Their contact details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are:-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Public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(Independent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whistle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blowing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charity)</w:t>
      </w:r>
    </w:p>
    <w:p w:rsidR="00AB0305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pacing w:val="55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Helpline: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020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3117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2520</w:t>
      </w:r>
      <w:r w:rsidRPr="00C62058">
        <w:rPr>
          <w:rFonts w:ascii="Century Gothic" w:hAnsi="Century Gothic"/>
          <w:spacing w:val="5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E-mail: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hyperlink r:id="rId14">
        <w:r w:rsidRPr="00C62058">
          <w:rPr>
            <w:rFonts w:ascii="Century Gothic" w:hAnsi="Century Gothic"/>
            <w:sz w:val="24"/>
            <w:szCs w:val="24"/>
            <w:u w:val="single"/>
          </w:rPr>
          <w:t>whistle@protect-advice.org.uk</w:t>
        </w:r>
      </w:hyperlink>
      <w:r w:rsidRPr="00C62058">
        <w:rPr>
          <w:rFonts w:ascii="Century Gothic" w:hAnsi="Century Gothic"/>
          <w:spacing w:val="55"/>
          <w:sz w:val="24"/>
          <w:szCs w:val="24"/>
        </w:rPr>
        <w:t xml:space="preserve"> </w:t>
      </w:r>
    </w:p>
    <w:p w:rsidR="00162AC4" w:rsidRPr="00C62058" w:rsidRDefault="00C62058" w:rsidP="00AB0305">
      <w:pPr>
        <w:pStyle w:val="BodyText"/>
        <w:spacing w:line="252" w:lineRule="exact"/>
        <w:ind w:left="1001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Website: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hyperlink r:id="rId15">
        <w:r w:rsidRPr="00C62058">
          <w:rPr>
            <w:rFonts w:ascii="Century Gothic" w:hAnsi="Century Gothic"/>
            <w:sz w:val="24"/>
            <w:szCs w:val="24"/>
            <w:u w:val="single"/>
          </w:rPr>
          <w:t>www.pcaw.co.uk</w:t>
        </w:r>
      </w:hyperlink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E0BC8" w:rsidRPr="001E0BC8" w:rsidRDefault="001E0BC8" w:rsidP="00F7063D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94"/>
        <w:ind w:hanging="72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Concerns against a Governor(s) or a Member</w:t>
      </w:r>
    </w:p>
    <w:p w:rsidR="00162AC4" w:rsidRPr="00C62058" w:rsidRDefault="00162AC4" w:rsidP="008E341B">
      <w:pPr>
        <w:pStyle w:val="BodyText"/>
        <w:spacing w:before="3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3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concern against a Governor or </w:t>
      </w:r>
      <w:r w:rsidR="008E341B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z w:val="24"/>
          <w:szCs w:val="24"/>
        </w:rPr>
        <w:t xml:space="preserve"> is received then this will be treated in the same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way as any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concern will be raised by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with the Chair of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who will decide how it should be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dealt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concern is against a Chair </w:t>
      </w:r>
      <w:r w:rsidR="008E341B">
        <w:rPr>
          <w:rFonts w:ascii="Century Gothic" w:hAnsi="Century Gothic"/>
          <w:sz w:val="24"/>
          <w:szCs w:val="24"/>
        </w:rPr>
        <w:t>of Governors</w:t>
      </w:r>
      <w:r w:rsidRPr="00C62058">
        <w:rPr>
          <w:rFonts w:ascii="Century Gothic" w:hAnsi="Century Gothic"/>
          <w:sz w:val="24"/>
          <w:szCs w:val="24"/>
        </w:rPr>
        <w:t xml:space="preserve"> then clearly this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process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cannot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followed.</w:t>
      </w:r>
      <w:r w:rsidRPr="00C62058">
        <w:rPr>
          <w:rFonts w:ascii="Century Gothic" w:hAnsi="Century Gothic"/>
          <w:spacing w:val="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taken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directly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="008E341B">
        <w:rPr>
          <w:rFonts w:ascii="Century Gothic" w:hAnsi="Century Gothic"/>
          <w:sz w:val="24"/>
          <w:szCs w:val="24"/>
        </w:rPr>
        <w:t xml:space="preserve">Headteacher </w:t>
      </w:r>
      <w:r w:rsidRPr="00C62058">
        <w:rPr>
          <w:rFonts w:ascii="Century Gothic" w:hAnsi="Century Gothic"/>
          <w:sz w:val="24"/>
          <w:szCs w:val="24"/>
        </w:rPr>
        <w:t>who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seek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advice.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normal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circumstances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would 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referred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Department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 Education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8E341B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1"/>
          <w:sz w:val="24"/>
          <w:szCs w:val="24"/>
        </w:rPr>
        <w:t>External</w:t>
      </w:r>
      <w:r w:rsidRPr="00C62058">
        <w:rPr>
          <w:rFonts w:ascii="Century Gothic" w:hAnsi="Century Gothic"/>
          <w:spacing w:val="4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Disclosures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 aim of this policy is to provide an internal mechanism for reporting, investigating and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remedying</w:t>
      </w:r>
      <w:r w:rsidRPr="00C62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wrongdoing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workplace.</w:t>
      </w:r>
      <w:r w:rsidRPr="00C62058">
        <w:rPr>
          <w:rFonts w:ascii="Century Gothic" w:hAnsi="Century Gothic"/>
          <w:spacing w:val="4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most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cases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not</w:t>
      </w:r>
      <w:r w:rsidRPr="00C62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find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necessary</w:t>
      </w:r>
      <w:r w:rsidRPr="00C62058">
        <w:rPr>
          <w:rFonts w:ascii="Century Gothic" w:hAnsi="Century Gothic"/>
          <w:spacing w:val="-5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alert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externally.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 law recognises that in some circumstances it may be appropriate for staff to report their</w:t>
      </w:r>
      <w:r w:rsidR="001026A5">
        <w:rPr>
          <w:rFonts w:ascii="Century Gothic" w:hAnsi="Century Gothic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="001026A5">
        <w:rPr>
          <w:rFonts w:ascii="Century Gothic" w:hAnsi="Century Gothic"/>
          <w:spacing w:val="-59"/>
          <w:sz w:val="24"/>
          <w:szCs w:val="24"/>
        </w:rPr>
        <w:t xml:space="preserve">  </w:t>
      </w:r>
      <w:r w:rsidRPr="00C62058">
        <w:rPr>
          <w:rFonts w:ascii="Century Gothic" w:hAnsi="Century Gothic"/>
          <w:sz w:val="24"/>
          <w:szCs w:val="24"/>
        </w:rPr>
        <w:t>concerns to an external body such as a regulator.</w:t>
      </w:r>
      <w:r w:rsidRPr="00C62058">
        <w:rPr>
          <w:rFonts w:ascii="Century Gothic" w:hAnsi="Century Gothic"/>
          <w:spacing w:val="6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It will very rarely, if ever, be appropriate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alert the media.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We strongly encourage everyone to seek advice before reporting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 to anyone external. The independent whistleblowing charity, Public Concern 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Work, operates a confidential helpline.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 also have a list of prescribed regulators 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reporting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certain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types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Whistleblowing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usually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relate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 relate to the actions of a third party, such as a service provider.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law allows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raise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with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third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party,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where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1E0BC8">
        <w:rPr>
          <w:rFonts w:ascii="Century Gothic" w:hAnsi="Century Gothic"/>
          <w:sz w:val="24"/>
          <w:szCs w:val="24"/>
        </w:rPr>
        <w:t>reasonably believes</w:t>
      </w:r>
      <w:r w:rsidRPr="00C62058">
        <w:rPr>
          <w:rFonts w:ascii="Century Gothic" w:hAnsi="Century Gothic"/>
          <w:sz w:val="24"/>
          <w:szCs w:val="24"/>
        </w:rPr>
        <w:t xml:space="preserve"> it relates mainly to their actions or something that is legally their responsibility.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However, staff are encouraged to report such concerns internally first.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should contact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guidance.</w:t>
      </w: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Investigation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Outcome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Once a member of staff has raised a concern,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carry out an initial assessment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to determine the scope of any investigation.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inform the ‘whistleblower’ of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outcome of its assessment. The member of staff raising the concern may be required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attend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additional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meetings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 order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further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information.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In most cases a panel of </w:t>
      </w:r>
      <w:r w:rsidR="001026A5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z w:val="24"/>
          <w:szCs w:val="24"/>
        </w:rPr>
        <w:t xml:space="preserve"> will investigate any issue.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In rare cases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may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appoint an investigator or team of investigators including staff with relevant experience of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investigations or specialist knowledge of the subject matter. The investigator(s) may make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recommendations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for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change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enable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minimise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risk of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future wrongdoing.</w:t>
      </w: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However, sometimes the need for confidentiality may prevent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from giving specific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details of the investigation or any disciplinary action taken as </w:t>
      </w:r>
      <w:r w:rsidRPr="00C62058">
        <w:rPr>
          <w:rFonts w:ascii="Century Gothic" w:hAnsi="Century Gothic"/>
          <w:sz w:val="24"/>
          <w:szCs w:val="24"/>
        </w:rPr>
        <w:lastRenderedPageBreak/>
        <w:t>a result.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 member of staff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 required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 information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investigation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as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strictly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concludes that a ‘whistleblower’ has made false allegations maliciously, in bad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faith or with a view to personal gain, the ‘whistleblower’ will be subject to disciplinary action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Procedure.</w:t>
      </w:r>
    </w:p>
    <w:p w:rsidR="00162AC4" w:rsidRPr="00C62058" w:rsidRDefault="00162AC4" w:rsidP="00AB0305">
      <w:pPr>
        <w:pStyle w:val="BodyText"/>
        <w:spacing w:before="9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Whilst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cannot always guarantee the outcome a particular member of staff 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seeking,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try to deal with the concern fairly and in an appropriate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member of staff is not happy with the way in which his or her concern has been handled,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he/she can raise it with one of the other key contacts outlined above (see contact table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below).</w:t>
      </w:r>
    </w:p>
    <w:p w:rsidR="00162AC4" w:rsidRPr="00C62058" w:rsidRDefault="00162AC4" w:rsidP="00AB0305">
      <w:pPr>
        <w:pStyle w:val="BodyText"/>
        <w:spacing w:before="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9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There are no rights of appeal against any decisions taken under this procedure. However,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an employee or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will have the right to refer any particular case to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Governing Body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7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will aim to keep the member of staff informed of the progress of the investigation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its likely timescale. In certain circumstances, eg where disciplinary action under 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>’s Disciplinary Procedure has resulted from the concern, it may not be appropriate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provide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specific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 due to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confidentiality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sensitivity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matters.</w:t>
      </w:r>
    </w:p>
    <w:p w:rsidR="00162AC4" w:rsidRPr="00C62058" w:rsidRDefault="00162AC4" w:rsidP="00C62058">
      <w:pPr>
        <w:pStyle w:val="BodyText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ind w:hanging="722"/>
        <w:jc w:val="both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t>Protection</w:t>
      </w:r>
      <w:r w:rsidRPr="00C62058">
        <w:rPr>
          <w:rFonts w:ascii="Century Gothic" w:hAnsi="Century Gothic"/>
          <w:spacing w:val="3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2"/>
          <w:sz w:val="24"/>
          <w:szCs w:val="24"/>
        </w:rPr>
        <w:t>Support</w:t>
      </w:r>
      <w:r w:rsidRPr="00C62058">
        <w:rPr>
          <w:rFonts w:ascii="Century Gothic" w:hAnsi="Century Gothic"/>
          <w:spacing w:val="40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9"/>
          <w:sz w:val="24"/>
          <w:szCs w:val="24"/>
        </w:rPr>
        <w:t>for</w:t>
      </w:r>
      <w:r w:rsidRPr="00C62058">
        <w:rPr>
          <w:rFonts w:ascii="Century Gothic" w:hAnsi="Century Gothic"/>
          <w:spacing w:val="4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13"/>
          <w:sz w:val="24"/>
          <w:szCs w:val="24"/>
        </w:rPr>
        <w:t>‘Whistleblowers’</w:t>
      </w:r>
    </w:p>
    <w:p w:rsidR="00162AC4" w:rsidRPr="00C62058" w:rsidRDefault="00162AC4" w:rsidP="00AB0305">
      <w:pPr>
        <w:pStyle w:val="BodyText"/>
        <w:spacing w:before="6"/>
        <w:jc w:val="both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0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It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understandable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that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‘whistleblowers’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are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sometimes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worried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about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possible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repercussions. The </w:t>
      </w:r>
      <w:r w:rsidR="00FE2F71">
        <w:rPr>
          <w:rFonts w:ascii="Century Gothic" w:hAnsi="Century Gothic"/>
          <w:sz w:val="24"/>
          <w:szCs w:val="24"/>
        </w:rPr>
        <w:t>School</w:t>
      </w:r>
      <w:r w:rsidRPr="00C62058">
        <w:rPr>
          <w:rFonts w:ascii="Century Gothic" w:hAnsi="Century Gothic"/>
          <w:sz w:val="24"/>
          <w:szCs w:val="24"/>
        </w:rPr>
        <w:t xml:space="preserve"> aims to encourage openness and will support staff who raise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genuine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concerns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good faith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under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this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policy,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even if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turn out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be mistaken.</w:t>
      </w:r>
    </w:p>
    <w:p w:rsidR="00162AC4" w:rsidRPr="00C62058" w:rsidRDefault="00162AC4" w:rsidP="00AB0305">
      <w:pPr>
        <w:pStyle w:val="BodyText"/>
        <w:spacing w:before="10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spacing w:before="1"/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suffer any detrimental treatment as a result of raising a concern in good faith.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Detrimental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treatment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would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include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dismissal,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action,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threats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other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unfavourable treatment connected with raising a concern.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a member of staff believes tha</w:t>
      </w:r>
      <w:r w:rsidR="00FE2F71">
        <w:rPr>
          <w:rFonts w:ascii="Century Gothic" w:hAnsi="Century Gothic"/>
          <w:sz w:val="24"/>
          <w:szCs w:val="24"/>
        </w:rPr>
        <w:t xml:space="preserve">t </w:t>
      </w:r>
      <w:r w:rsidRPr="00C62058">
        <w:rPr>
          <w:rFonts w:ascii="Century Gothic" w:hAnsi="Century Gothic"/>
          <w:sz w:val="24"/>
          <w:szCs w:val="24"/>
        </w:rPr>
        <w:t xml:space="preserve">he or she has suffered any such treatment, he or she should inform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immediately.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If the matter is not remedied the member of staff should raise it formally using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School’s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Grievance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 Procedure.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Staff must not threaten or retaliate against whistleblowers in any way.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Anyone involved in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such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conduct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will be subject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 disciplinary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action.</w:t>
      </w:r>
    </w:p>
    <w:p w:rsidR="00162AC4" w:rsidRPr="00C62058" w:rsidRDefault="00162AC4" w:rsidP="00AB0305">
      <w:pPr>
        <w:pStyle w:val="BodyText"/>
        <w:spacing w:before="11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11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All staff are responsible for the success of this policy and should ensure that they use it to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disclose any suspected danger or wrongdoing.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Staff are invited to comment on this policy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suggest</w:t>
      </w:r>
      <w:r w:rsidRPr="00C62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ways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in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which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it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pacing w:val="-1"/>
          <w:sz w:val="24"/>
          <w:szCs w:val="24"/>
        </w:rPr>
        <w:t>might</w:t>
      </w:r>
      <w:r w:rsidRPr="00C62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improved.</w:t>
      </w:r>
      <w:r w:rsidRPr="00C62058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Comments,</w:t>
      </w:r>
      <w:r w:rsidRPr="00C62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suggestions</w:t>
      </w:r>
      <w:r w:rsidRPr="00C62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and</w:t>
      </w:r>
      <w:r w:rsidRPr="00C62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queries</w:t>
      </w:r>
      <w:r w:rsidRPr="00C6205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59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be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addressed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to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 i</w:t>
      </w:r>
      <w:r w:rsidRPr="00C62058">
        <w:rPr>
          <w:rFonts w:ascii="Century Gothic" w:hAnsi="Century Gothic"/>
          <w:sz w:val="24"/>
          <w:szCs w:val="24"/>
        </w:rPr>
        <w:t>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instance.</w:t>
      </w:r>
    </w:p>
    <w:p w:rsidR="00162AC4" w:rsidRPr="00C62058" w:rsidRDefault="00162AC4" w:rsidP="00C62058">
      <w:pPr>
        <w:rPr>
          <w:rFonts w:ascii="Century Gothic" w:hAnsi="Century Gothic"/>
          <w:sz w:val="24"/>
          <w:szCs w:val="24"/>
        </w:rPr>
        <w:sectPr w:rsidR="00162AC4" w:rsidRPr="00C62058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1040" w:right="1020" w:bottom="1140" w:left="840" w:header="0" w:footer="960" w:gutter="0"/>
          <w:cols w:space="720"/>
        </w:sectPr>
      </w:pPr>
    </w:p>
    <w:p w:rsidR="00162AC4" w:rsidRPr="00C62058" w:rsidRDefault="00C62058" w:rsidP="00C62058">
      <w:pPr>
        <w:pStyle w:val="Heading1"/>
        <w:numPr>
          <w:ilvl w:val="0"/>
          <w:numId w:val="1"/>
        </w:numPr>
        <w:tabs>
          <w:tab w:val="left" w:pos="1013"/>
          <w:tab w:val="left" w:pos="1014"/>
        </w:tabs>
        <w:spacing w:before="74"/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pacing w:val="12"/>
          <w:sz w:val="24"/>
          <w:szCs w:val="24"/>
        </w:rPr>
        <w:lastRenderedPageBreak/>
        <w:t>Safeguarding</w:t>
      </w:r>
    </w:p>
    <w:p w:rsidR="00162AC4" w:rsidRPr="00C62058" w:rsidRDefault="00162AC4" w:rsidP="00C62058">
      <w:pPr>
        <w:pStyle w:val="BodyText"/>
        <w:spacing w:before="6"/>
        <w:rPr>
          <w:rFonts w:ascii="Century Gothic" w:hAnsi="Century Gothic"/>
          <w:b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4"/>
        </w:tabs>
        <w:ind w:right="108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 xml:space="preserve">If a member of staff suspects there is a serious safeguarding issue that they feel the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 xml:space="preserve"> is not taking seriously, or that they believe there is a serious safeguarding issue</w:t>
      </w:r>
      <w:r w:rsidRPr="00C62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involving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Headteacher</w:t>
      </w:r>
      <w:r w:rsidRPr="00C62058">
        <w:rPr>
          <w:rFonts w:ascii="Century Gothic" w:hAnsi="Century Gothic"/>
          <w:sz w:val="24"/>
          <w:szCs w:val="24"/>
        </w:rPr>
        <w:t>,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they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should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</w:t>
      </w:r>
      <w:r w:rsidRPr="00C62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first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instance</w:t>
      </w:r>
      <w:r w:rsidRPr="00C62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the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Chair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of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="008E341B">
        <w:rPr>
          <w:rFonts w:ascii="Century Gothic" w:hAnsi="Century Gothic"/>
          <w:sz w:val="24"/>
          <w:szCs w:val="24"/>
        </w:rPr>
        <w:t>Governors</w:t>
      </w:r>
      <w:r w:rsidRPr="00C62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via</w:t>
      </w:r>
      <w:r w:rsidRPr="00C62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 xml:space="preserve">the </w:t>
      </w:r>
      <w:r w:rsidR="00CE6533">
        <w:rPr>
          <w:rFonts w:ascii="Century Gothic" w:hAnsi="Century Gothic"/>
          <w:sz w:val="24"/>
          <w:szCs w:val="24"/>
        </w:rPr>
        <w:t>Headteacher’s Personal Assistant</w:t>
      </w:r>
      <w:r w:rsidRPr="00C62058">
        <w:rPr>
          <w:rFonts w:ascii="Century Gothic" w:hAnsi="Century Gothic"/>
          <w:sz w:val="24"/>
          <w:szCs w:val="24"/>
        </w:rPr>
        <w:t>.</w:t>
      </w:r>
    </w:p>
    <w:p w:rsidR="00162AC4" w:rsidRPr="00C62058" w:rsidRDefault="00162AC4" w:rsidP="00AB0305">
      <w:pPr>
        <w:pStyle w:val="BodyText"/>
        <w:jc w:val="both"/>
        <w:rPr>
          <w:rFonts w:ascii="Century Gothic" w:hAnsi="Century Gothic"/>
          <w:sz w:val="24"/>
          <w:szCs w:val="24"/>
        </w:rPr>
      </w:pPr>
    </w:p>
    <w:p w:rsidR="00162AC4" w:rsidRPr="00C62058" w:rsidRDefault="00C62058" w:rsidP="00AB0305">
      <w:pPr>
        <w:pStyle w:val="ListParagraph"/>
        <w:numPr>
          <w:ilvl w:val="1"/>
          <w:numId w:val="1"/>
        </w:numPr>
        <w:tabs>
          <w:tab w:val="left" w:pos="1013"/>
          <w:tab w:val="left" w:pos="1014"/>
        </w:tabs>
        <w:ind w:hanging="722"/>
        <w:rPr>
          <w:rFonts w:ascii="Century Gothic" w:hAnsi="Century Gothic"/>
          <w:sz w:val="24"/>
          <w:szCs w:val="24"/>
        </w:rPr>
      </w:pPr>
      <w:r w:rsidRPr="00C62058">
        <w:rPr>
          <w:rFonts w:ascii="Century Gothic" w:hAnsi="Century Gothic"/>
          <w:sz w:val="24"/>
          <w:szCs w:val="24"/>
        </w:rPr>
        <w:t>Contact</w:t>
      </w:r>
      <w:r w:rsidRPr="00C62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62058">
        <w:rPr>
          <w:rFonts w:ascii="Century Gothic" w:hAnsi="Century Gothic"/>
          <w:sz w:val="24"/>
          <w:szCs w:val="24"/>
        </w:rPr>
        <w:t>details:-</w:t>
      </w:r>
    </w:p>
    <w:p w:rsidR="00776E52" w:rsidRPr="00776E52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>Headteacher: R Smith -</w:t>
      </w:r>
      <w:r>
        <w:rPr>
          <w:rFonts w:ascii="Century Gothic" w:hAnsi="Century Gothic"/>
          <w:sz w:val="24"/>
          <w:szCs w:val="24"/>
        </w:rPr>
        <w:t xml:space="preserve"> </w:t>
      </w:r>
      <w:r w:rsidRPr="00776E52">
        <w:rPr>
          <w:rFonts w:ascii="Century Gothic" w:hAnsi="Century Gothic"/>
          <w:sz w:val="24"/>
          <w:szCs w:val="24"/>
        </w:rPr>
        <w:t>rsmith@firvale.com</w:t>
      </w:r>
    </w:p>
    <w:p w:rsidR="00AB0305" w:rsidRDefault="00776E52" w:rsidP="00AB0305">
      <w:pPr>
        <w:pStyle w:val="BodyText"/>
        <w:ind w:left="993"/>
        <w:jc w:val="both"/>
        <w:rPr>
          <w:rFonts w:ascii="Century Gothic" w:hAnsi="Century Gothic"/>
          <w:i/>
          <w:sz w:val="24"/>
          <w:szCs w:val="24"/>
        </w:rPr>
      </w:pPr>
      <w:r w:rsidRPr="00776E52">
        <w:rPr>
          <w:rFonts w:ascii="Century Gothic" w:hAnsi="Century Gothic"/>
          <w:sz w:val="24"/>
          <w:szCs w:val="24"/>
        </w:rPr>
        <w:t xml:space="preserve">Chair of Governors (Usma Saeed) </w:t>
      </w:r>
      <w:r w:rsidRPr="00776E52">
        <w:rPr>
          <w:rFonts w:ascii="Century Gothic" w:hAnsi="Century Gothic"/>
          <w:i/>
          <w:sz w:val="24"/>
          <w:szCs w:val="24"/>
        </w:rPr>
        <w:t>via Headteacher's P</w:t>
      </w:r>
      <w:r w:rsidR="00CE6533">
        <w:rPr>
          <w:rFonts w:ascii="Century Gothic" w:hAnsi="Century Gothic"/>
          <w:i/>
          <w:sz w:val="24"/>
          <w:szCs w:val="24"/>
        </w:rPr>
        <w:t xml:space="preserve">ersonal </w:t>
      </w:r>
      <w:r w:rsidRPr="00776E52">
        <w:rPr>
          <w:rFonts w:ascii="Century Gothic" w:hAnsi="Century Gothic"/>
          <w:i/>
          <w:sz w:val="24"/>
          <w:szCs w:val="24"/>
        </w:rPr>
        <w:t>A</w:t>
      </w:r>
      <w:r w:rsidR="00CE6533">
        <w:rPr>
          <w:rFonts w:ascii="Century Gothic" w:hAnsi="Century Gothic"/>
          <w:i/>
          <w:sz w:val="24"/>
          <w:szCs w:val="24"/>
        </w:rPr>
        <w:t>ssistant</w:t>
      </w:r>
      <w:r w:rsidRPr="00776E52">
        <w:rPr>
          <w:rFonts w:ascii="Century Gothic" w:hAnsi="Century Gothic"/>
          <w:i/>
          <w:sz w:val="24"/>
          <w:szCs w:val="24"/>
        </w:rPr>
        <w:t xml:space="preserve">: </w:t>
      </w:r>
    </w:p>
    <w:p w:rsidR="00162AC4" w:rsidRPr="00C62058" w:rsidRDefault="00776E52" w:rsidP="00AB0305">
      <w:pPr>
        <w:pStyle w:val="BodyText"/>
        <w:ind w:left="993"/>
        <w:jc w:val="both"/>
        <w:rPr>
          <w:rFonts w:ascii="Century Gothic" w:hAnsi="Century Gothic"/>
          <w:sz w:val="24"/>
          <w:szCs w:val="24"/>
        </w:rPr>
      </w:pPr>
      <w:r w:rsidRPr="00776E52">
        <w:rPr>
          <w:rFonts w:ascii="Century Gothic" w:hAnsi="Century Gothic"/>
          <w:i/>
          <w:sz w:val="24"/>
          <w:szCs w:val="24"/>
        </w:rPr>
        <w:t>goxley@firvale.com</w:t>
      </w:r>
    </w:p>
    <w:sectPr w:rsidR="00162AC4" w:rsidRPr="00C62058">
      <w:pgSz w:w="11910" w:h="16840"/>
      <w:pgMar w:top="1040" w:right="1020" w:bottom="1140" w:left="84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71" w:rsidRDefault="00FE2F71">
      <w:r>
        <w:separator/>
      </w:r>
    </w:p>
  </w:endnote>
  <w:endnote w:type="continuationSeparator" w:id="0">
    <w:p w:rsidR="00FE2F71" w:rsidRDefault="00F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MS Gothic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71" w:rsidRDefault="00FE2F7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9943465</wp:posOffset>
              </wp:positionV>
              <wp:extent cx="14668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F71" w:rsidRDefault="00FE2F7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968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5pt;margin-top:782.95pt;width:11.55pt;height:13.1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Rjqw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" filled="f" stroked="f">
              <v:textbox inset="0,0,0,0">
                <w:txbxContent>
                  <w:p w:rsidR="00FE2F71" w:rsidRDefault="00FE2F7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2968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71" w:rsidRDefault="00FE2F71">
      <w:r>
        <w:separator/>
      </w:r>
    </w:p>
  </w:footnote>
  <w:footnote w:type="continuationSeparator" w:id="0">
    <w:p w:rsidR="00FE2F71" w:rsidRDefault="00FE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16" o:spid="_x0000_s1026" type="#_x0000_t136" style="position:absolute;margin-left:0;margin-top:0;width:629.75pt;height:78.7pt;rotation:315;z-index:-1584332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17" o:spid="_x0000_s1027" type="#_x0000_t136" style="position:absolute;margin-left:0;margin-top:0;width:629.75pt;height:78.7pt;rotation:315;z-index:-1584128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15" o:spid="_x0000_s1025" type="#_x0000_t136" style="position:absolute;margin-left:0;margin-top:0;width:629.75pt;height:78.7pt;rotation:315;z-index:-1584537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19" o:spid="_x0000_s1029" type="#_x0000_t136" style="position:absolute;margin-left:0;margin-top:0;width:629.75pt;height:78.7pt;rotation:315;z-index:-15837184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20" o:spid="_x0000_s1030" type="#_x0000_t136" style="position:absolute;margin-left:0;margin-top:0;width:629.75pt;height:78.7pt;rotation:315;z-index:-1583513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68" w:rsidRDefault="00C92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55518" o:spid="_x0000_s1028" type="#_x0000_t136" style="position:absolute;margin-left:0;margin-top:0;width:629.75pt;height:78.7pt;rotation:315;z-index:-1583923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Awaiting Ratific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F35"/>
    <w:multiLevelType w:val="multilevel"/>
    <w:tmpl w:val="C4F0B7FC"/>
    <w:lvl w:ilvl="0">
      <w:start w:val="1"/>
      <w:numFmt w:val="decimal"/>
      <w:lvlText w:val="%1."/>
      <w:lvlJc w:val="left"/>
      <w:pPr>
        <w:ind w:left="1013" w:hanging="72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3" w:hanging="721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426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9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4"/>
    <w:rsid w:val="001026A5"/>
    <w:rsid w:val="00162AC4"/>
    <w:rsid w:val="001E0BC8"/>
    <w:rsid w:val="002547C1"/>
    <w:rsid w:val="00464E9D"/>
    <w:rsid w:val="00776E52"/>
    <w:rsid w:val="00784D7B"/>
    <w:rsid w:val="008640B2"/>
    <w:rsid w:val="008E341B"/>
    <w:rsid w:val="00A927B9"/>
    <w:rsid w:val="00AB0305"/>
    <w:rsid w:val="00AF1664"/>
    <w:rsid w:val="00C62058"/>
    <w:rsid w:val="00C92968"/>
    <w:rsid w:val="00CE6533"/>
    <w:rsid w:val="00F7063D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C7A247D-ECAE-4DE3-942F-8C4A8BB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13" w:hanging="72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37"/>
      <w:ind w:left="103"/>
    </w:pPr>
    <w:rPr>
      <w:rFonts w:ascii="Arial" w:eastAsia="Arial" w:hAnsi="Arial" w:cs="Arial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1013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10"/>
    </w:pPr>
  </w:style>
  <w:style w:type="paragraph" w:styleId="Header">
    <w:name w:val="header"/>
    <w:basedOn w:val="Normal"/>
    <w:link w:val="Head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5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62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5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caw.co.uk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histle@protect-ad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</dc:creator>
  <cp:lastModifiedBy>Georgia Oxley</cp:lastModifiedBy>
  <cp:revision>3</cp:revision>
  <dcterms:created xsi:type="dcterms:W3CDTF">2024-11-08T12:44:00Z</dcterms:created>
  <dcterms:modified xsi:type="dcterms:W3CDTF">2024-11-26T14:05:00Z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